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0"/>
      </w:tblGrid>
      <w:tr w:rsidR="002B1C30" w:rsidRPr="002B1C30" w:rsidTr="002B1C30">
        <w:trPr>
          <w:tblCellSpacing w:w="0" w:type="dxa"/>
        </w:trPr>
        <w:tc>
          <w:tcPr>
            <w:tcW w:w="4450" w:type="pct"/>
            <w:hideMark/>
          </w:tcPr>
          <w:p w:rsidR="002B1C30" w:rsidRPr="002B1C30" w:rsidRDefault="002B1C30" w:rsidP="002B1C30">
            <w:pPr>
              <w:bidi w:val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Amitrole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Related Information: Chemical Sampling - </w:t>
            </w:r>
            <w:hyperlink r:id="rId4" w:tooltip="Amitrole" w:history="1">
              <w:r w:rsidRPr="002B1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Amitrole</w:t>
              </w:r>
            </w:hyperlink>
          </w:p>
          <w:p w:rsidR="002B1C30" w:rsidRPr="002B1C30" w:rsidRDefault="002B1C30" w:rsidP="002B1C30">
            <w:pPr>
              <w:bidi w:val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2B1C30" w:rsidRPr="002B1C30" w:rsidTr="002B1C30">
        <w:trPr>
          <w:trHeight w:val="1995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20"/>
              <w:gridCol w:w="6930"/>
            </w:tblGrid>
            <w:tr w:rsidR="002B1C30" w:rsidRPr="002B1C30">
              <w:tc>
                <w:tcPr>
                  <w:tcW w:w="2000" w:type="pct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Method number:</w:t>
                  </w:r>
                </w:p>
              </w:tc>
              <w:tc>
                <w:tcPr>
                  <w:tcW w:w="3000" w:type="pct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PV2006</w:t>
                  </w:r>
                </w:p>
              </w:tc>
            </w:tr>
            <w:tr w:rsidR="002B1C30" w:rsidRPr="002B1C30">
              <w:tc>
                <w:tcPr>
                  <w:tcW w:w="0" w:type="auto"/>
                  <w:gridSpan w:val="2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2B1C30" w:rsidRPr="002B1C30"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Matrix: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Air</w:t>
                  </w:r>
                </w:p>
              </w:tc>
            </w:tr>
            <w:tr w:rsidR="002B1C30" w:rsidRPr="002B1C30"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B1C30" w:rsidRPr="002B1C30"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Target Concentration: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0.2 mg/m</w:t>
                  </w: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bidi="ar-SA"/>
                    </w:rPr>
                    <w:t>3</w:t>
                  </w: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 xml:space="preserve"> (ACGIH TLV-TWA)</w:t>
                  </w:r>
                </w:p>
              </w:tc>
            </w:tr>
            <w:tr w:rsidR="002B1C30" w:rsidRPr="002B1C30"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B1C30" w:rsidRPr="002B1C30"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Procedure: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Samples are collected by drawing known volumes of air through impingers containing water. Samples are analyzed by high performance liquid chromatography (HPLC) using a UV detector.</w:t>
                  </w:r>
                </w:p>
              </w:tc>
            </w:tr>
            <w:tr w:rsidR="002B1C30" w:rsidRPr="002B1C30"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B1C30" w:rsidRPr="002B1C30"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Recommended air volume and sampling rate: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60 L at 1 Lpm</w:t>
                  </w:r>
                </w:p>
              </w:tc>
            </w:tr>
            <w:tr w:rsidR="002B1C30" w:rsidRPr="002B1C30"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B1C30" w:rsidRPr="002B1C30"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Detection limit of the overall procedure (based on the recommended air volume):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0.004 mg/m</w:t>
                  </w: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bidi="ar-SA"/>
                    </w:rPr>
                    <w:t>3</w:t>
                  </w:r>
                </w:p>
              </w:tc>
            </w:tr>
            <w:tr w:rsidR="002B1C30" w:rsidRPr="002B1C30"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B1C30" w:rsidRPr="002B1C30"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Status of method: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Stopgap method. This method has been only partially evaluated and is presented for information and trial use.</w:t>
                  </w:r>
                </w:p>
              </w:tc>
            </w:tr>
            <w:tr w:rsidR="002B1C30" w:rsidRPr="002B1C30">
              <w:trPr>
                <w:trHeight w:val="540"/>
              </w:trPr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B1C30" w:rsidRPr="002B1C30">
              <w:trPr>
                <w:trHeight w:val="285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December 1987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Yihlin Chan</w:t>
                  </w:r>
                </w:p>
              </w:tc>
            </w:tr>
            <w:tr w:rsidR="002B1C30" w:rsidRPr="002B1C30">
              <w:tc>
                <w:tcPr>
                  <w:tcW w:w="0" w:type="auto"/>
                  <w:gridSpan w:val="2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Carcinogen and Pesticide Branch</w:t>
                  </w: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br/>
                    <w:t>OSHA Analytical Laboratory</w:t>
                  </w: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br/>
                    <w:t>Salt Lake City, Utah</w:t>
                  </w:r>
                </w:p>
              </w:tc>
            </w:tr>
          </w:tbl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1. General discussion </w:t>
            </w:r>
          </w:p>
          <w:p w:rsidR="002B1C30" w:rsidRPr="002B1C30" w:rsidRDefault="002B1C30" w:rsidP="002B1C30">
            <w:pPr>
              <w:bidi w:val="0"/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1.1. Background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The OSHA Analytical Laboratory received a set of samples requesting analysis of amitrole. The samples had been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collected in impingers containing water. This report describes the preliminary validation of the sampling method and the analytical method developed for amitrole.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1.2. Toxic effects (This section is for information only and should not be taken as the basis of OSHA policy.)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>"The oral LD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SA"/>
              </w:rPr>
              <w:t>50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of amitrole in mice was 11,000 or 14,700 and was 25,000 mg/kg in rats. The intravenous LD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ar-SA"/>
              </w:rPr>
              <w:t>50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was 5000 mg/kg in mice. The dermal application of 10,000 mg/kg was tolerated by rats and rabbits without any systemic effects. The exposure of rats for four hours to an aerosol of 439 mg/m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ar-SA"/>
              </w:rPr>
              <w:t>3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did not produce symptoms of poisoning and did not irritate the eyes and the upper respiratory tract. It has a very slight irritating effect on the skin and eyes of rabbits." (</w:t>
            </w:r>
            <w:hyperlink r:id="rId5" w:anchor="ref" w:tooltip="Reference 5.5" w:history="1">
              <w:r w:rsidRPr="002B1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Ref. 5.5</w:t>
              </w:r>
            </w:hyperlink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)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>The ACGIH TLV Committee recommended the removal of the A2 designation as a suspected human carcinogen from the listing for amitrole in 1984. (</w:t>
            </w:r>
            <w:hyperlink r:id="rId6" w:anchor="ref" w:tooltip="Reference 5.5" w:history="1">
              <w:r w:rsidRPr="002B1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Ref. 5.5</w:t>
              </w:r>
            </w:hyperlink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)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>1.3. Potential workplace exposure (</w:t>
            </w:r>
            <w:hyperlink r:id="rId7" w:anchor="ref" w:tooltip="Reference 5.4" w:history="1">
              <w:r w:rsidRPr="002B1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Ref. 5.4</w:t>
              </w:r>
            </w:hyperlink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)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Amitrole is used as an herbicide and a plant growth regulator. No estimate on the extent of workplace exposure could be found.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>1.4. Physical properties (</w:t>
            </w:r>
            <w:hyperlink r:id="rId8" w:anchor="ref" w:tooltip="Reference 5.1" w:history="1">
              <w:r w:rsidRPr="002B1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Ref. 5.1</w:t>
              </w:r>
            </w:hyperlink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and </w:t>
            </w:r>
            <w:hyperlink r:id="rId9" w:anchor="ref" w:tooltip="Reference 5.2" w:history="1">
              <w:r w:rsidRPr="002B1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5.2</w:t>
              </w:r>
            </w:hyperlink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) </w:t>
            </w:r>
          </w:p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1"/>
              <w:gridCol w:w="7774"/>
            </w:tblGrid>
            <w:tr w:rsidR="002B1C30" w:rsidRPr="002B1C30">
              <w:trPr>
                <w:tblCellSpacing w:w="15" w:type="dxa"/>
              </w:trPr>
              <w:tc>
                <w:tcPr>
                  <w:tcW w:w="1250" w:type="pct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Chemical name: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3-Amino-1,2,4-triazole</w:t>
                  </w:r>
                </w:p>
              </w:tc>
            </w:tr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Synonyms: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3-Amino-1H-1,2,4-triazole; aminotriazole; ATA; ENT 25445; Amizol; Cytrol; Weedazol</w:t>
                  </w:r>
                </w:p>
              </w:tc>
            </w:tr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CAS no.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61-82-5</w:t>
                  </w:r>
                </w:p>
              </w:tc>
            </w:tr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Molecular formula: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C</w:t>
                  </w: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bidi="ar-SA"/>
                    </w:rPr>
                    <w:t>2</w:t>
                  </w: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H</w:t>
                  </w: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bidi="ar-SA"/>
                    </w:rPr>
                    <w:t>4</w:t>
                  </w: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N</w:t>
                  </w: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bidi="ar-SA"/>
                    </w:rPr>
                    <w:t>4</w:t>
                  </w:r>
                </w:p>
              </w:tc>
            </w:tr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Molecular weight: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84.1</w:t>
                  </w:r>
                </w:p>
              </w:tc>
            </w:tr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Appearance: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Colorless crystals; bitter taste</w:t>
                  </w:r>
                </w:p>
              </w:tc>
            </w:tr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Melting point: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159°C</w:t>
                  </w:r>
                </w:p>
              </w:tc>
            </w:tr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Solubility: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 xml:space="preserve">Soluble in water (28% at 25°C) and ethanol (26% at 75°C); slightly soluble in chloroform, methylene chloride, acetonitrile, and ethyl acetate; insoluble in </w:t>
                  </w: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lastRenderedPageBreak/>
                    <w:t>ether, acetone and hydrocarbons</w:t>
                  </w:r>
                </w:p>
              </w:tc>
            </w:tr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lastRenderedPageBreak/>
                    <w:t>UV scan: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 xml:space="preserve">See </w:t>
                  </w:r>
                  <w:hyperlink r:id="rId10" w:anchor="fig3" w:tooltip="Figure 3" w:history="1">
                    <w:r w:rsidRPr="002B1C3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bidi="ar-SA"/>
                      </w:rPr>
                      <w:t>Figure 3</w:t>
                    </w:r>
                  </w:hyperlink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.</w:t>
                  </w:r>
                </w:p>
              </w:tc>
            </w:tr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Structure: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1066800" cy="914400"/>
                        <wp:effectExtent l="19050" t="0" r="0" b="0"/>
                        <wp:docPr id="2" name="Picture 2" descr="Stru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ru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1.5. Detection limit of the analytical procedure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The detection limit of the analytical procedure is 0.51 ng per injection. This is the amount of analyte which will give a peak whose height is approximately 5 times the baseline noise.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2. Sampling procedure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2.1. Apparatus and reagents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2.1.1. A personal sampling pump that can be calibrated to within 5% of the recommended flow rate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2.1.2. Impinger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2.1.3. Distilled water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2.2. Sampling procedure (</w:t>
            </w:r>
            <w:hyperlink r:id="rId12" w:anchor="ref" w:tooltip="Reference 5.3" w:history="1">
              <w:r w:rsidRPr="002B1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Ref. 5.3</w:t>
              </w:r>
            </w:hyperlink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)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2.2.1. Calibrate pump.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2.2.2. Attach the collection device to the shirt collar or within the breathing zone. Position the tubing so as not to interfere with the work of the employee.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2.2.3. Turn on pump and record the starting time.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2.2.4. Check the pump flow periodically.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2.2.5. Prepare a blank.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br/>
              <w:t xml:space="preserve">2.2.6. At the end of the sampling period, turn off the pump and record the ending time.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2.2.7. Transfer the impinger solution to a vial. Rinse with a small amount water and pour the rinse solution into the vial. Seal the vial with an OSHA-21.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2.3. Recommended air volume and sampling rate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2.3.1. The recommended air volume is 60 L. 2.3.2. The recommended sampling rate is 1 Lpm. </w:t>
            </w:r>
          </w:p>
          <w:p w:rsidR="002B1C30" w:rsidRPr="002B1C30" w:rsidRDefault="002B1C30" w:rsidP="002B1C30">
            <w:pPr>
              <w:bidi w:val="0"/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2.4. Extraction efficiency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Not performed. Samples are analyzed directly.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2.5. Retention efficiency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Three impingers containing 15 mL of water were each spiked with 12.71 ug of amitrole. Humid air (80% RH, 60 L @ 1 Lpm) was drawn through the solutions. The solutions were each made 15.0 mL with water and analyzed. The average recovery was 87.5%. </w:t>
            </w:r>
          </w:p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2"/>
              <w:gridCol w:w="3283"/>
              <w:gridCol w:w="2560"/>
            </w:tblGrid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Amitrole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Sample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recovered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Recovery</w:t>
                  </w: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----------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---------------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----------</w:t>
                  </w: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YCA1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11.30 ug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88.9%</w:t>
                  </w: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YCA2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10.91 ug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85.8%</w:t>
                  </w: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YCA3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11.17 ug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87.9%</w:t>
                  </w: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----------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---------------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----------</w:t>
                  </w: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Average =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 xml:space="preserve">87.5% </w:t>
                  </w:r>
                </w:p>
              </w:tc>
            </w:tr>
          </w:tbl>
          <w:p w:rsidR="002B1C30" w:rsidRPr="002B1C30" w:rsidRDefault="002B1C30" w:rsidP="002B1C30">
            <w:pPr>
              <w:bidi w:val="0"/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2.6. Storage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Three impingers containing 15 mL of water were each spiked with 12.71 ug of amitrole. Humid air (80% RH, 60 L @ 1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Lpm) was drawn through the solutions. The solutions were transferred to scintillation vials and stored at room temperature in the dark for 33 days. The average recovery was 79.9%. </w:t>
            </w:r>
          </w:p>
          <w:tbl>
            <w:tblPr>
              <w:tblW w:w="3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7"/>
              <w:gridCol w:w="3072"/>
              <w:gridCol w:w="2396"/>
            </w:tblGrid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Amitrole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Sample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recovered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Recovery</w:t>
                  </w: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----------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---------------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----------</w:t>
                  </w: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YCA4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9.34 ug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73.5%</w:t>
                  </w: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YCA5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10.48 ug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82.5%</w:t>
                  </w: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YCA6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10.62 ug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83.6%</w:t>
                  </w: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----------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---------------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----------</w:t>
                  </w: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B1C30" w:rsidRPr="002B1C30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Average 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 xml:space="preserve">79.9%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2.7. Interferences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There are no known interferences to the sampling procedure.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3. Analytical method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3.1. Apparatus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3.1.1. High performance liquid chromatograph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3.1.2. Chromasil Cl8 column or equivalent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3.1.3. UV detector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3.1.4. Stripchart recorder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3.2. Reagents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3.2.1. Water, HPLC grade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3.2.2. Amitrole, EPA #0200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3.3. Standard preparation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br/>
              <w:t xml:space="preserve">Weigh 5 to 10 mg of amitrole in a 10-mL volumetric flask. Add water to the mark. Dilute with water to a suitable working range.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3.4. Sample preparation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The volumes of the samples were made 15.0 mL with distilled water.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3.5. Analysis </w:t>
            </w:r>
          </w:p>
          <w:p w:rsidR="002B1C30" w:rsidRPr="002B1C30" w:rsidRDefault="002B1C30" w:rsidP="002B1C30">
            <w:pPr>
              <w:bidi w:val="0"/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3.5.1. Instrument conditions </w:t>
            </w:r>
          </w:p>
          <w:tbl>
            <w:tblPr>
              <w:tblW w:w="3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95"/>
              <w:gridCol w:w="3435"/>
            </w:tblGrid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Column: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Chromasil C18</w:t>
                  </w:r>
                </w:p>
              </w:tc>
            </w:tr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Eluent: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100% water</w:t>
                  </w:r>
                </w:p>
              </w:tc>
            </w:tr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Flow rate: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1.0 mL/min</w:t>
                  </w:r>
                </w:p>
              </w:tc>
            </w:tr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Detector: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205 nm</w:t>
                  </w:r>
                </w:p>
              </w:tc>
            </w:tr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Injection size: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30 uL</w:t>
                  </w:r>
                </w:p>
              </w:tc>
            </w:tr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Retention time:</w:t>
                  </w:r>
                </w:p>
              </w:tc>
              <w:tc>
                <w:tcPr>
                  <w:tcW w:w="0" w:type="auto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6.0 min</w:t>
                  </w:r>
                </w:p>
              </w:tc>
            </w:tr>
          </w:tbl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3.5.2. Chromatogram (See </w:t>
            </w:r>
            <w:hyperlink r:id="rId13" w:anchor="fig1" w:tooltip="Figure 1" w:history="1">
              <w:r w:rsidRPr="002B1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Figure 1</w:t>
              </w:r>
            </w:hyperlink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)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3.6. Interferences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3.6.1. Any collected compound that has the same retention time as amitrole and absorbs at 205 nm is a potential interference. Generally, chromatographic conditions can be altered to separate an interference from the analyte.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3.6.2. Retention time alone is not proof of a chemical identity. Confirmation by other means should be sought whenever possible.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3.7. Calculations </w:t>
            </w:r>
          </w:p>
          <w:p w:rsidR="002B1C30" w:rsidRPr="002B1C30" w:rsidRDefault="002B1C30" w:rsidP="002B1C30">
            <w:pPr>
              <w:bidi w:val="0"/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3.7.1. A calibration curve is constructed by plotting standard concentrations versus detector response (see </w:t>
            </w:r>
            <w:hyperlink r:id="rId14" w:anchor="fig2" w:tooltip="Figure 2" w:history="1">
              <w:r w:rsidRPr="002B1C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Figure 2</w:t>
              </w:r>
            </w:hyperlink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).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3.7.2. The concentration of a sample is determined from the calibration curve.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3.7.3. The air concentration is determined by the formula: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"/>
              <w:gridCol w:w="1687"/>
            </w:tblGrid>
            <w:tr w:rsidR="002B1C30" w:rsidRPr="002B1C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mg/m</w:t>
                  </w: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bidi="ar-SA"/>
                    </w:rPr>
                    <w:t>3</w:t>
                  </w: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 xml:space="preserve"> =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(µg/mL)(15 mL)</w:t>
                  </w:r>
                </w:p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pict>
                      <v:rect id="_x0000_i1026" style="width:0;height:.75pt" o:hralign="center" o:hrstd="t" o:hr="t" fillcolor="#aca899" stroked="f"/>
                    </w:pict>
                  </w:r>
                </w:p>
                <w:p w:rsidR="002B1C30" w:rsidRPr="002B1C30" w:rsidRDefault="002B1C30" w:rsidP="002B1C30">
                  <w:pPr>
                    <w:bidi w:val="0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2B1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(air volume, L)</w:t>
                  </w:r>
                </w:p>
              </w:tc>
            </w:tr>
          </w:tbl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4. Recommendations for further study </w:t>
            </w:r>
          </w:p>
          <w:p w:rsidR="002B1C30" w:rsidRPr="002B1C30" w:rsidRDefault="002B1C30" w:rsidP="002B1C30">
            <w:pPr>
              <w:bidi w:val="0"/>
              <w:spacing w:after="24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4.1. Investigate a more convenient sampling device, such as a sorbent tube or a filter.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4.2. Develope a fully validated method. </w:t>
            </w:r>
          </w:p>
          <w:p w:rsidR="002B1C30" w:rsidRPr="002B1C30" w:rsidRDefault="002B1C30" w:rsidP="002B1C30">
            <w:pPr>
              <w:bidi w:val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bookmarkStart w:id="0" w:name="fig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57275" cy="3152775"/>
                  <wp:effectExtent l="19050" t="0" r="9525" b="0"/>
                  <wp:docPr id="4" name="Picture 4" descr="For problems with accessibility in using figures please contact the SLTC at (801) 233-490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r problems with accessibility in using figures please contact the SLTC at (801) 233-490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15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Figure 1. Chromatogram of Amitrole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bookmarkStart w:id="1" w:name="fig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838575" cy="2943225"/>
                  <wp:effectExtent l="19050" t="0" r="9525" b="0"/>
                  <wp:docPr id="5" name="Picture 5" descr="For problems with accessibility in using figures please contact the SLTC at (801) 233-490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r problems with accessibility in using figures please contact the SLTC at (801) 233-490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Figure 2. Calibration Curve of Amitrole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bookmarkStart w:id="2" w:name="fig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2381250" cy="5543550"/>
                  <wp:effectExtent l="19050" t="0" r="0" b="0"/>
                  <wp:docPr id="6" name="Picture 6" descr="For problems with accessibility in using figures please contact the SLTC at (801) 233-490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r problems with accessibility in using figures please contact the SLTC at (801) 233-490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54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Figure 3. UV Scan of Amitrole in Water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bookmarkStart w:id="3" w:name="ref"/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5. References</w:t>
            </w:r>
            <w:bookmarkEnd w:id="3"/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5.1. "Registry of Toxic Effects of Chemical Substances, 1983-84 Supplement"; U.S. Department of Health and Human Services: Cincinnati, OH, 1986; DHHS(NIOSH) Publication No. 86-103.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5.2. Windholz, M., Ed. "Merck Index", 9th ed.; Merck and Co: Rahway, NJ, 1979.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5.3. "Industrial Hygiene Technical Manual", OSHA Instruction CPL 2-2.20A, March 30, 1984, U.S. Department of Labor. Chapter II: "Standard Methods for Sampling Air Contaminants."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5.4. WHO, "IARC Monograph on the Evaluation of the Carcinogenic Risk of Chemicals to Man", Volume 13; International Agency for Research on Cancer: Lyon, 1977, pp. 201-218. </w:t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</w: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br/>
              <w:t xml:space="preserve">5.5. "Documentation of the Threshold Limit Values and Biological Exposure Incices", Fifth Edition, American Conference of Governmental Industrial Hygienists Inc., Cincinnati, OH, 1986. </w:t>
            </w:r>
          </w:p>
          <w:p w:rsidR="002B1C30" w:rsidRPr="002B1C30" w:rsidRDefault="002B1C30" w:rsidP="002B1C30">
            <w:pPr>
              <w:bidi w:val="0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1C3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</w:tbl>
    <w:p w:rsidR="00B42A7E" w:rsidRDefault="00B42A7E"/>
    <w:sectPr w:rsidR="00B42A7E" w:rsidSect="002B1C30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1C30"/>
    <w:rsid w:val="00215523"/>
    <w:rsid w:val="002B1C30"/>
    <w:rsid w:val="0059246A"/>
    <w:rsid w:val="00B42A7E"/>
    <w:rsid w:val="00BD511C"/>
    <w:rsid w:val="00FB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boldtwelve">
    <w:name w:val="blueboldtwelve"/>
    <w:basedOn w:val="DefaultParagraphFont"/>
    <w:rsid w:val="002B1C30"/>
  </w:style>
  <w:style w:type="character" w:customStyle="1" w:styleId="blackten">
    <w:name w:val="blackten"/>
    <w:basedOn w:val="DefaultParagraphFont"/>
    <w:rsid w:val="002B1C30"/>
  </w:style>
  <w:style w:type="character" w:styleId="Hyperlink">
    <w:name w:val="Hyperlink"/>
    <w:basedOn w:val="DefaultParagraphFont"/>
    <w:uiPriority w:val="99"/>
    <w:semiHidden/>
    <w:unhideWhenUsed/>
    <w:rsid w:val="002B1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dts/sltc/methods/partial/pv2006/2006.html" TargetMode="External"/><Relationship Id="rId13" Type="http://schemas.openxmlformats.org/officeDocument/2006/relationships/hyperlink" Target="https://www.osha.gov/dts/sltc/methods/partial/pv2006/2006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ha.gov/dts/sltc/methods/partial/pv2006/2006.html" TargetMode="External"/><Relationship Id="rId12" Type="http://schemas.openxmlformats.org/officeDocument/2006/relationships/hyperlink" Target="https://www.osha.gov/dts/sltc/methods/partial/pv2006/2006.html" TargetMode="External"/><Relationship Id="rId1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3.gif"/><Relationship Id="rId1" Type="http://schemas.openxmlformats.org/officeDocument/2006/relationships/styles" Target="styles.xml"/><Relationship Id="rId6" Type="http://schemas.openxmlformats.org/officeDocument/2006/relationships/hyperlink" Target="https://www.osha.gov/dts/sltc/methods/partial/pv2006/2006.html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www.osha.gov/dts/sltc/methods/partial/pv2006/2006.html" TargetMode="External"/><Relationship Id="rId15" Type="http://schemas.openxmlformats.org/officeDocument/2006/relationships/image" Target="media/image2.gif"/><Relationship Id="rId10" Type="http://schemas.openxmlformats.org/officeDocument/2006/relationships/hyperlink" Target="https://www.osha.gov/dts/sltc/methods/partial/pv2006/2006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osha.gov/dts/chemicalsampling/data/CH_218240.html" TargetMode="External"/><Relationship Id="rId9" Type="http://schemas.openxmlformats.org/officeDocument/2006/relationships/hyperlink" Target="https://www.osha.gov/dts/sltc/methods/partial/pv2006/2006.html" TargetMode="External"/><Relationship Id="rId14" Type="http://schemas.openxmlformats.org/officeDocument/2006/relationships/hyperlink" Target="https://www.osha.gov/dts/sltc/methods/partial/pv2006/20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1260</Words>
  <Characters>7188</Characters>
  <Application>Microsoft Office Word</Application>
  <DocSecurity>0</DocSecurity>
  <Lines>59</Lines>
  <Paragraphs>16</Paragraphs>
  <ScaleCrop>false</ScaleCrop>
  <Company>Takfad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Ssu</cp:lastModifiedBy>
  <cp:revision>1</cp:revision>
  <dcterms:created xsi:type="dcterms:W3CDTF">2014-11-01T06:22:00Z</dcterms:created>
  <dcterms:modified xsi:type="dcterms:W3CDTF">2014-11-01T06:22:00Z</dcterms:modified>
</cp:coreProperties>
</file>